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B81605">
        <w:rPr>
          <w:rFonts w:ascii="Times New Roman" w:hAnsi="Times New Roman" w:cs="Times New Roman"/>
          <w:sz w:val="28"/>
          <w:szCs w:val="28"/>
        </w:rPr>
        <w:t>ол № 6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президиума Общественного совета при государственной администрации Рыбницкого района и г.Рыбница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84140E">
        <w:rPr>
          <w:rFonts w:ascii="Times New Roman" w:hAnsi="Times New Roman" w:cs="Times New Roman"/>
          <w:sz w:val="28"/>
          <w:szCs w:val="28"/>
        </w:rPr>
        <w:t xml:space="preserve">20 </w:t>
      </w:r>
      <w:r w:rsidR="006B118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17D5E">
        <w:rPr>
          <w:rFonts w:ascii="Times New Roman" w:hAnsi="Times New Roman" w:cs="Times New Roman"/>
          <w:sz w:val="28"/>
          <w:szCs w:val="28"/>
        </w:rPr>
        <w:t xml:space="preserve"> </w:t>
      </w:r>
      <w:r w:rsidR="00F03C57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>Кушнир Н.А., Цвинкайло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217D5E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Председателя </w:t>
      </w:r>
      <w:r w:rsidR="00EB04CB">
        <w:rPr>
          <w:rFonts w:ascii="Times New Roman" w:hAnsi="Times New Roman" w:cs="Times New Roman"/>
          <w:sz w:val="28"/>
          <w:szCs w:val="28"/>
        </w:rPr>
        <w:t>Общественного Совета при государственной администрации Рыбницкого района и г.Рыбница.</w:t>
      </w:r>
    </w:p>
    <w:p w:rsidR="00035EDE" w:rsidRPr="00590AB2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Рак Т.Б.</w:t>
      </w:r>
      <w:r w:rsidR="00217D5E">
        <w:rPr>
          <w:rFonts w:ascii="Times New Roman" w:hAnsi="Times New Roman" w:cs="Times New Roman"/>
          <w:sz w:val="28"/>
          <w:szCs w:val="28"/>
        </w:rPr>
        <w:t>. я как Председатель Общественного Совета являюсь членом Общественной палаты ПМР</w:t>
      </w:r>
      <w:r w:rsidR="00035EDE">
        <w:rPr>
          <w:rFonts w:ascii="Times New Roman" w:hAnsi="Times New Roman" w:cs="Times New Roman"/>
          <w:sz w:val="28"/>
          <w:szCs w:val="28"/>
        </w:rPr>
        <w:t xml:space="preserve"> и мне поручено осветить информацию направленную в адрес Председателя Общественной палаты </w:t>
      </w:r>
      <w:r w:rsidR="00035EDE" w:rsidRPr="00590AB2">
        <w:rPr>
          <w:rFonts w:ascii="Times New Roman" w:hAnsi="Times New Roman" w:cs="Times New Roman"/>
          <w:sz w:val="28"/>
          <w:szCs w:val="28"/>
        </w:rPr>
        <w:t>ПМР Ладункина В.О.</w:t>
      </w:r>
      <w:r w:rsidR="006D1AF6" w:rsidRPr="00590AB2">
        <w:rPr>
          <w:rFonts w:ascii="Times New Roman" w:hAnsi="Times New Roman" w:cs="Times New Roman"/>
          <w:sz w:val="28"/>
          <w:szCs w:val="28"/>
        </w:rPr>
        <w:t xml:space="preserve"> поступила инициатива члена Общественной палаты Тулгара В.А. в части поддержки Общественной палатой ПМР заявления Верховного Совета Приднестровской Молдавской Республики о ситуации вокруг Приднестровья. Общественная палата ПМР поддерживает заявление Верховного Совета ПМР о ситуации вокруг Приднестровья. Являясь представителями многонационального народа Приднестровья , члены Общественной палаты ПМР подтверждают свою приверженность общечеловеческим ценностям , стремлению жить в мире и согласии со всеми народами в соответствии с общепринятыми принципами и нормами международного права, что закреплено в нашей Конституции.</w:t>
      </w:r>
    </w:p>
    <w:p w:rsidR="006D1AF6" w:rsidRPr="00590AB2" w:rsidRDefault="006D1AF6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Именно эта </w:t>
      </w:r>
      <w:r w:rsidR="00475F6F" w:rsidRPr="00590AB2">
        <w:rPr>
          <w:rFonts w:ascii="Times New Roman" w:hAnsi="Times New Roman" w:cs="Times New Roman"/>
          <w:sz w:val="28"/>
          <w:szCs w:val="28"/>
        </w:rPr>
        <w:t>приверженность , подкреплённая ответственностью за свою родину и свой народ , большая часть которого состоит из молдаван , русских и украинцев, является тем гарантом, который даёт нам право высказывать должностным лицам Украины и Республика Молдова о беспочвенности их заявлений по поводу каких –либо агрессивных намерений со стороны Приднестровья. Мы более тридцати лет, невзирая на некоторые разногласия сторон , которые решались , и мы надеемся, будут решаться путём мирных переговоров , сохраняли мир и добросовестные отношения , как с Украиной , так и с Республикой Молдова. Общественная палата ПМР присоединяется к не допущению эскалации напряжённости в общем региональном пространстве и призывает все стороны к сохранению мира и безопасности.</w:t>
      </w:r>
    </w:p>
    <w:p w:rsidR="00475F6F" w:rsidRPr="00590AB2" w:rsidRDefault="00475F6F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Я , как Председатель Общественного совета Рыбницкого района и г.Рыбница, так же предлагаю поддержать заявление Верховного Совета ПМР и Общественной палаты ПМР.</w:t>
      </w:r>
    </w:p>
    <w:p w:rsidR="00475F6F" w:rsidRPr="00590AB2" w:rsidRDefault="00475F6F" w:rsidP="004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lastRenderedPageBreak/>
        <w:t>По первому вопросу  голосовали: за- 5 человек, 0-против, 0-воздержалось.</w:t>
      </w:r>
    </w:p>
    <w:p w:rsidR="00475F6F" w:rsidRPr="00590AB2" w:rsidRDefault="009767C5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Так же поступила </w:t>
      </w:r>
      <w:r w:rsidR="00590AB2" w:rsidRPr="00590AB2">
        <w:rPr>
          <w:rFonts w:ascii="Times New Roman" w:hAnsi="Times New Roman" w:cs="Times New Roman"/>
          <w:sz w:val="28"/>
          <w:szCs w:val="28"/>
        </w:rPr>
        <w:t xml:space="preserve">председателю Общественной палаты ПМР обращение члена Общественной палаты ПМР Тулгара В.А. в части отказа в ПМР от большинства плановых проверок которых не связана с высокими рисками причинения вреда, по аналогии с Российской Федерацией </w:t>
      </w:r>
      <w:r w:rsidR="00590AB2">
        <w:rPr>
          <w:rFonts w:ascii="Times New Roman" w:hAnsi="Times New Roman" w:cs="Times New Roman"/>
          <w:sz w:val="28"/>
          <w:szCs w:val="28"/>
        </w:rPr>
        <w:t>.</w:t>
      </w:r>
    </w:p>
    <w:p w:rsidR="00590AB2" w:rsidRPr="00590AB2" w:rsidRDefault="00590AB2" w:rsidP="00590A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0AB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Изучив выступление Президента Российской Федерации на </w:t>
      </w:r>
      <w:r w:rsidRPr="00590AB2">
        <w:rPr>
          <w:rFonts w:ascii="Times New Roman" w:hAnsi="Times New Roman" w:cs="Times New Roman"/>
          <w:sz w:val="28"/>
          <w:szCs w:val="28"/>
        </w:rPr>
        <w:t>Петербургском международном экономическом форуме (ПМЭФ), и исходя из аналогичных ситуаций, возникающих в ПМР в части необходимости сохранения, развития и  формирования благоприятного бизнес-климата в республике, обращаюсь со следующим предложением, суть которого состоит в следующем:</w:t>
      </w:r>
    </w:p>
    <w:p w:rsidR="00590AB2" w:rsidRPr="00590AB2" w:rsidRDefault="00590AB2" w:rsidP="00590A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90AB2" w:rsidRPr="00590AB2" w:rsidRDefault="00590AB2" w:rsidP="00590AB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На Петербургском международном экономическом форуме (ПМЭФ), который состоялся  15–18 июня 2022 года,  Президент РФ Владимир Путин предложил навсегда отказаться от большинства плановых проверок компаний, деятельность которых не связана с высокими рисками причинения вреда.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Путин объявил также о реформе проверок бизнеса и выступил за пересмотр крупного и особо крупного ущерба для уголовных дел против предпринимателей. 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«Есть все основания сделать еще один кардинальный шаг вперед: навсегда, на постоянной основе отказаться от проведения большинства проверок всего российского бизнеса, деятельность которого не связана с высокими рисками причинения вреда», — сказал президент, добавив, что «ходить и проверять всех подряд» необходимости нет». 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Президент РФ дал указание   Правительству РФ в ближайшие месяцы определить конкретные параметры реформы.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О снижении числа контрольных проверок предпринимателей на ПМЭФ  заявила и  Генпрокуратура России. В частности, глава надзорного ведомства Игорь Краснов сказал: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«Мы будем добиваться этого всеми доступными, законными способами».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По словам генпрокурора, "существенное влияние на процесс формирования благоприятного бизнес-климата оказал новый закон о государственном и муниципальном контроле".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Приостановление всех плановых проверок было предпринято также  и в Приднестровье в определенные законодательством ПМР периоды.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Так,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lastRenderedPageBreak/>
        <w:t>В соответствие с пунктом 4 решения оперативного штаба от 31 января 2022 года: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- Органам государственного контроля (надзора) предложено приостановить на период с 1 февраля по 1 марта 2022 года проведение всех плановых проверок.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Данная норма  отражена в Законе ПМР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 в 2020–2022 годах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(текущая редакция по состоянию на 30 марта 2022 года)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 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Согласно данному Закону - Статья 1 дополнена подпунктом я-36 :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«я-36) во изменение норм Закона Приднестровской Молдавской Республики «О порядке проведения проверок при осуществлении государственного контроля (надзора)» установить, что органы государственной власти, уполномоченные на осуществление государственного контроля (надзора), обязаны приостановить и не инициировать проведение в отношении юридических лиц, физических лиц, в том числе индивидуальных предпринимателей, плановых мероприятий по контролю (надзору) на период, установленный решением Оперативного штаба по профилактике и предотвращению распространения вирусной инфекции»;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 </w:t>
      </w:r>
    </w:p>
    <w:p w:rsidR="00590AB2" w:rsidRPr="00590AB2" w:rsidRDefault="00590AB2" w:rsidP="00590AB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В целях формирования благоприятного бизнес-климата в ПМР, в условиях современной действительности, считаю целесообразным: </w:t>
      </w:r>
    </w:p>
    <w:p w:rsidR="00590AB2" w:rsidRPr="00590AB2" w:rsidRDefault="00590AB2" w:rsidP="00590AB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1) отказаться  от большинства плановых проверок компаний, деятельность которых не связана с высокими рисками причинения вреда, по аналогии с Российской Федерацией;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2) исходя из </w:t>
      </w:r>
      <w:r w:rsidRPr="00590AB2">
        <w:rPr>
          <w:rFonts w:ascii="Times New Roman" w:hAnsi="Times New Roman" w:cs="Times New Roman"/>
          <w:spacing w:val="-8"/>
          <w:sz w:val="28"/>
          <w:szCs w:val="28"/>
        </w:rPr>
        <w:t xml:space="preserve">концепции  гармонизации законодательства Приднестровской Молдавской Республики с законодательством Российской Федерации, предлагаю  обратиться в Верховный Совет ПМР  и Правительство ПМР с просьбой  изучить механизм и на законодательном уровне закрепить </w:t>
      </w:r>
      <w:r w:rsidRPr="00590AB2">
        <w:rPr>
          <w:rFonts w:ascii="Times New Roman" w:hAnsi="Times New Roman" w:cs="Times New Roman"/>
          <w:sz w:val="28"/>
          <w:szCs w:val="28"/>
        </w:rPr>
        <w:t xml:space="preserve"> отказ от большинства плановых проверок компаний, деятельность которых не связана с высокими рисками причинения вреда.</w:t>
      </w:r>
    </w:p>
    <w:p w:rsidR="00590AB2" w:rsidRPr="00590AB2" w:rsidRDefault="00590AB2" w:rsidP="00590AB2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Заключение члена Общественной палаты ПМР Тулгара В.А. в части перехода поликлиник ПМР (в том числе стоматологических) на хозрасчёт и самоокупаемость.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AB2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  о переходе  поликлиник ПМР (в т.ч. стоматологических)  на хозрасчет и самоокупаемость, необходимо отметить следующее:</w:t>
      </w:r>
    </w:p>
    <w:p w:rsidR="00590AB2" w:rsidRPr="00590AB2" w:rsidRDefault="00590AB2" w:rsidP="00590AB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9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практической деятельности введение хозрасчета предполагает возмещение расходов доходами с целью получения прибыли в таких </w:t>
      </w:r>
      <w:r w:rsidRPr="00590A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количествах, которых будет достаточно для самоокупаемости (воспроизводства затрат) и самофинансирования (появления дополнительных денежных средств). </w:t>
      </w:r>
    </w:p>
    <w:p w:rsidR="00590AB2" w:rsidRPr="00590AB2" w:rsidRDefault="00590AB2" w:rsidP="00590AB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AB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хозрасчет – это не просто плановое ведение хозяйства на основе  самоокупаемости, но  и ведение  деятельности хозрасчетного предприятия или учреждения</w:t>
      </w:r>
      <w:r w:rsidRPr="00590AB2">
        <w:rPr>
          <w:rFonts w:ascii="Times New Roman" w:hAnsi="Times New Roman" w:cs="Times New Roman"/>
          <w:sz w:val="28"/>
          <w:szCs w:val="28"/>
        </w:rPr>
        <w:t xml:space="preserve"> без помощи средств государственного бюджета.</w:t>
      </w:r>
    </w:p>
    <w:p w:rsidR="00590AB2" w:rsidRPr="00590AB2" w:rsidRDefault="00590AB2" w:rsidP="00590AB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AB2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поликлиника (в т.ч. стоматологическая), перешедшая на хозрасчет и самоокупаемость должна сама зарабатывать деньги на: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- заработную плату персоналу;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 xml:space="preserve">- коммунальные услуги; 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 xml:space="preserve">- амортизацию оборудования; 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 xml:space="preserve">- медикаменты и медицинские изделия;  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- приобретение современного медицинского оборудования;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 xml:space="preserve">-уплату налогов;  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- ремонт и содержание здания, благоустройство прилежащей территории  и т.д.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 xml:space="preserve"> 4) Естественно, что большая часть вырученных средств от платных услуг идет на зарплаты персоналу. Получается, что врач материально заинтересован в большем обслуживании хозрасчетных клиентов. 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Однако в этой связи надо принять во внимание: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-  если пациентов будет меньше, то пациенты разницы не почувствуют, а врачу заплатят меньше;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- «пиковая» нагрузка у разных специалистов  в разное время тоже разная - хирурги страдают в основном зимой, в гололед. У педиатров летом вообще никого нет - все на дачах и отпусках. Осенью и весной мучаются терапевты - давление, простуды, колебания погоды, проведение диспансеризации и т.д.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5) При хозрасчете - плановом ведении деятельности поликлиник - устанавливается, так называемый, «план приема»  либо «норма пациентов».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Однако из опыта одной московской поликлиники следует, что: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90AB2">
        <w:rPr>
          <w:sz w:val="28"/>
          <w:szCs w:val="28"/>
        </w:rPr>
        <w:t xml:space="preserve"> - п</w:t>
      </w:r>
      <w:r w:rsidRPr="00590AB2">
        <w:rPr>
          <w:bCs/>
          <w:sz w:val="28"/>
          <w:szCs w:val="28"/>
          <w:shd w:val="clear" w:color="auto" w:fill="FFFFFF"/>
        </w:rPr>
        <w:t xml:space="preserve">ри норме пациентов за один прием (6 часов) - 75 человек, </w:t>
      </w:r>
      <w:r w:rsidRPr="00590AB2">
        <w:rPr>
          <w:sz w:val="28"/>
          <w:szCs w:val="28"/>
          <w:shd w:val="clear" w:color="auto" w:fill="FFFFFF"/>
        </w:rPr>
        <w:t>если  разделить 360 мин. на 75 чел., то получается </w:t>
      </w:r>
      <w:r w:rsidRPr="00590AB2">
        <w:rPr>
          <w:bCs/>
          <w:sz w:val="28"/>
          <w:szCs w:val="28"/>
          <w:shd w:val="clear" w:color="auto" w:fill="FFFFFF"/>
        </w:rPr>
        <w:t>меньше 5 минут на одного пациента</w:t>
      </w:r>
      <w:r w:rsidRPr="00590AB2">
        <w:rPr>
          <w:sz w:val="28"/>
          <w:szCs w:val="28"/>
          <w:shd w:val="clear" w:color="auto" w:fill="FFFFFF"/>
        </w:rPr>
        <w:t xml:space="preserve">. При этом последняя норма была 10 минут на человека (т.е. 6 человек в час, или 36 за прием). Что сможет сделать врач за 5 минут? Да он даже в карту не успеет жалобы записать, не то что принять решение и назначить лечение (а также - выписать рецепт). А если врач - хирург в городской поликлинике, то мелкие операции тоже проводит он. Каким образом и как врач должен еще и прооперировать человека за эти 5 минут? А медсестра за то же время должна не только записать прием, но и наложить гипс или повязку. 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90AB2">
        <w:rPr>
          <w:sz w:val="28"/>
          <w:szCs w:val="28"/>
          <w:shd w:val="clear" w:color="auto" w:fill="FFFFFF"/>
        </w:rPr>
        <w:t xml:space="preserve">6) Рост доходов хозрасчетных поликлиник (в т.ч. стоматологических) увеличивается за счет подорожания услуг, что негативно  отражается  на пациентах с небольшими доходами и значительными проблемами со здоровьем. 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lastRenderedPageBreak/>
        <w:t xml:space="preserve">7) Не вызывает сомнений, что современная государственная медицина, хоть и считается бесплатной, но это понятие носит, скорее, условный характер. Сам прием в государственной клинике бесплатный, но не редко случается, что пациенту нужно доплачивать за анализы и другие медицинские процедуры, покупать мединструменты и лекарства. Однако цены на все эти услуги, в отличие от платных и хозрасчетных поликлиник (в т.ч. стоматологических), регулируются государством. 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8) Таким образом,  исходя из:</w:t>
      </w:r>
    </w:p>
    <w:p w:rsidR="00590AB2" w:rsidRPr="00590AB2" w:rsidRDefault="00590AB2" w:rsidP="00590A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стоимости лечения и оказание медицинских услуг, которые в зависимости от диагноза, в хозрасчетных поликлиниках (в т.ч. стоматологических) может быть очень высокой;</w:t>
      </w:r>
    </w:p>
    <w:p w:rsidR="00590AB2" w:rsidRPr="00590AB2" w:rsidRDefault="00590AB2" w:rsidP="00590A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ситуации, когда врач сознательно назначает дорогостоящие анализы и процедуры, в которых не нуждается пациент;</w:t>
      </w:r>
    </w:p>
    <w:p w:rsidR="00590AB2" w:rsidRPr="00590AB2" w:rsidRDefault="00590AB2" w:rsidP="00590A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личной заинтересованности хозрасчетных врачей в выписке определенных лекарств;</w:t>
      </w:r>
    </w:p>
    <w:p w:rsidR="00590AB2" w:rsidRPr="00590AB2" w:rsidRDefault="00590AB2" w:rsidP="00590A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приписки количества принимаемых пациентов в целях повышения зарплаты;</w:t>
      </w:r>
    </w:p>
    <w:p w:rsidR="00590AB2" w:rsidRPr="00590AB2" w:rsidRDefault="00590AB2" w:rsidP="00590A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отмены надбавок  за  врачебную квалификацию в целях экономии бюджета;</w:t>
      </w:r>
    </w:p>
    <w:p w:rsidR="00590AB2" w:rsidRPr="00590AB2" w:rsidRDefault="00590AB2" w:rsidP="00590A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низкой платежеспособности граждан; </w:t>
      </w:r>
    </w:p>
    <w:p w:rsidR="00590AB2" w:rsidRPr="00DD1340" w:rsidRDefault="00590AB2" w:rsidP="00590A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40">
        <w:rPr>
          <w:rFonts w:ascii="Times New Roman" w:hAnsi="Times New Roman" w:cs="Times New Roman"/>
          <w:sz w:val="28"/>
          <w:szCs w:val="28"/>
        </w:rPr>
        <w:t xml:space="preserve">отсутствия медицинского страхования и иных сопутствующих причин, </w:t>
      </w:r>
    </w:p>
    <w:p w:rsidR="00590AB2" w:rsidRPr="00DD1340" w:rsidRDefault="00590AB2" w:rsidP="00590AB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AB2" w:rsidRPr="00DD1340" w:rsidRDefault="00590AB2" w:rsidP="00590AB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340">
        <w:rPr>
          <w:rFonts w:ascii="Times New Roman" w:hAnsi="Times New Roman" w:cs="Times New Roman"/>
          <w:sz w:val="28"/>
          <w:szCs w:val="28"/>
        </w:rPr>
        <w:t>-считаю нецелесообразным в настоящее  время перевод поликлиник ПМР (в т.ч. стоматологических) на хозрасчет и самоокупаемость.</w:t>
      </w:r>
    </w:p>
    <w:p w:rsidR="00590AB2" w:rsidRPr="00590AB2" w:rsidRDefault="00590AB2" w:rsidP="00590AB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AB2" w:rsidRPr="00590AB2" w:rsidRDefault="00590AB2" w:rsidP="00590AB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В  дополнение к вышесказанному</w:t>
      </w:r>
      <w:r w:rsidRPr="00590AB2">
        <w:rPr>
          <w:rFonts w:ascii="Times New Roman" w:hAnsi="Times New Roman" w:cs="Times New Roman"/>
          <w:i/>
          <w:sz w:val="28"/>
          <w:szCs w:val="28"/>
        </w:rPr>
        <w:t>,</w:t>
      </w:r>
    </w:p>
    <w:p w:rsidR="00590AB2" w:rsidRPr="00590AB2" w:rsidRDefault="00590AB2" w:rsidP="00590A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 стоимость лечения в государственной поликлинике существенно ниже, чем в хозрасчетных поликлиниках;</w:t>
      </w:r>
    </w:p>
    <w:p w:rsidR="00590AB2" w:rsidRDefault="00590AB2" w:rsidP="00590A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государственные медучреждения (поликлиники, ФАПы) есть во всех населенных пунктах, даже в небольших поселках, в то время как частные клиники (хозрасчетные поликлиники) работают в основном в больших городах.</w:t>
      </w:r>
    </w:p>
    <w:p w:rsidR="00590AB2" w:rsidRPr="00590AB2" w:rsidRDefault="00DD1340" w:rsidP="00DD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340">
        <w:rPr>
          <w:rFonts w:ascii="Times New Roman" w:hAnsi="Times New Roman" w:cs="Times New Roman"/>
          <w:sz w:val="28"/>
          <w:szCs w:val="28"/>
        </w:rPr>
        <w:t>Заключение члена Общественной палаты Тулгара В.А в части з</w:t>
      </w:r>
      <w:r w:rsidR="00590AB2" w:rsidRPr="00DD1340">
        <w:rPr>
          <w:rFonts w:ascii="Times New Roman" w:hAnsi="Times New Roman" w:cs="Times New Roman"/>
          <w:sz w:val="28"/>
          <w:szCs w:val="28"/>
          <w:shd w:val="clear" w:color="auto" w:fill="FFFFFF"/>
        </w:rPr>
        <w:t>убопротезирования льготных категорий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0AB2" w:rsidRPr="00590AB2">
        <w:rPr>
          <w:rFonts w:ascii="Times New Roman" w:hAnsi="Times New Roman" w:cs="Times New Roman"/>
          <w:sz w:val="28"/>
          <w:szCs w:val="28"/>
          <w:shd w:val="clear" w:color="auto" w:fill="FFFFFF"/>
        </w:rPr>
        <w:t>(поручение №12-1-01/4 от 17 февраля 2022г.)</w:t>
      </w:r>
    </w:p>
    <w:p w:rsidR="00590AB2" w:rsidRPr="00590AB2" w:rsidRDefault="00590AB2" w:rsidP="00590A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1. В целях обеспечения конституционных прав граждан Приднестровской Молдавской Республики на охрану здоровья и получение бесплатной медицинской помощи в государственных организациях здравоохранения Правительством Приднестровской Молдавской Республики  утверждена Программа государственных гарантий оказания гражданам Приднестровской Молдавской Республики бесплатной медицинской помощи на период 2020 -2022гг. (Постановление № 16 от 31 января 2020 г.)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lastRenderedPageBreak/>
        <w:t>В соответствие с пунктом 10 данного Постановления  в рамках Программы государственных гарантий бесплатно предоставляются и проводятся  следующие виды стоматологической помощи: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1) при острых состояниях, требующих неотложной медицинской помощи; 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2) в плановом порядке по лечению кариеса и его осложнений (пульпита, периодонтита), заболеваний слизистой полости рта, пародонта, удалению зубов - 7 - и при других амбулаторных операциях детям до 18 лет, беременным, военнослужащим по призыву, а также санация полости рта гражданам, которым действующим законодательством Приднестровской Молдавской Республики предусмотрено льготное зубное протезирование;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3) протезирование зубов детям до 18 лет и гражданам, которым законодательством Приднестровской Молдавской Республики предусмотрено льготное протезирование;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0AB2">
        <w:rPr>
          <w:rFonts w:ascii="Times New Roman" w:hAnsi="Times New Roman" w:cs="Times New Roman"/>
          <w:sz w:val="28"/>
          <w:szCs w:val="28"/>
        </w:rPr>
        <w:t>4) ортодонтическая помощь детям в порядке, установленном исполнительным органом государственной власти, в ведении которого находятся вопросы здравоохранения;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AB2">
        <w:rPr>
          <w:rFonts w:ascii="Times New Roman" w:hAnsi="Times New Roman" w:cs="Times New Roman"/>
          <w:sz w:val="28"/>
          <w:szCs w:val="28"/>
        </w:rPr>
        <w:t>2.Также,  в части зубопротезирования льготных категорий граждан неоднократно вносились изменения в Постановление Правительства Приднестровской Молдавской Республики от 16 сентября 2019 года № 343 «О порядке формирования и механизме реализации государственного заказа на предоставление услуг по изготовлению и ремонту зубных протезов (за исключением протезов из драгоценных металлов, фарфора и металлокерамики) детям до 18 (восемнадцати) лет и гражданам, для которых действующим законодательством Приднестровской Молдавской Республики предусмотрено льготное зубное протезирование,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помощи»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AB2" w:rsidRPr="00590AB2" w:rsidRDefault="00590AB2" w:rsidP="00590AB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90AB2">
        <w:rPr>
          <w:b w:val="0"/>
          <w:sz w:val="28"/>
          <w:szCs w:val="28"/>
        </w:rPr>
        <w:t>3. В настоящее время в республике продолжает действовать программа по льготному зубопротезированию.</w:t>
      </w:r>
    </w:p>
    <w:p w:rsidR="00590AB2" w:rsidRPr="00590AB2" w:rsidRDefault="00590AB2" w:rsidP="00590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Получить этот вид медпомощи можно в  ГУП «Республиканская стоматология» и в других государственных стоматологических учреждениях, где протезирование зубов льготным категориям граждан осуществляется бесплатно. </w:t>
      </w:r>
    </w:p>
    <w:p w:rsidR="00590AB2" w:rsidRPr="00590AB2" w:rsidRDefault="00590AB2" w:rsidP="00590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Однако если стоимость плана зубопротезирования превышает предусмотренные лимиты на одного пациента, то ему необходимо будет доплатить. </w:t>
      </w:r>
    </w:p>
    <w:p w:rsidR="00590AB2" w:rsidRPr="00590AB2" w:rsidRDefault="00590AB2" w:rsidP="00590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В государственных стоматологиях средняя стоимость зубопротезирования на одного льготного пациента составляет 1 751 рубль, в ГУП «Республиканская стоматология» - 2 108 рублей.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lastRenderedPageBreak/>
        <w:t>Воспользоваться льготой могут один раз в пять лет ветераны труда, участники Великой Отечественной войны и боевых действий по защите ПМР, боевых действий в Афганистане, участники ликвидации последствий аварии на ЧАЭС и т. д. Также предоставляется скидка в 50% на протезирование и ремонт протезов инвалидам I, II групп общего заболевания, инвалидам II группы по зрению и детям-инвалидам до 18 лет.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AB2">
        <w:rPr>
          <w:sz w:val="28"/>
          <w:szCs w:val="28"/>
        </w:rPr>
        <w:t>В год республиканская стоматологическая клиника обслуживает в среднем 250 пациентов, имеющих льготу на зубопротезирование.</w:t>
      </w:r>
    </w:p>
    <w:p w:rsidR="00590AB2" w:rsidRPr="00590AB2" w:rsidRDefault="00590AB2" w:rsidP="00590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0AB2" w:rsidRPr="00DD1340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40">
        <w:rPr>
          <w:rFonts w:ascii="Times New Roman" w:hAnsi="Times New Roman" w:cs="Times New Roman"/>
          <w:sz w:val="28"/>
          <w:szCs w:val="28"/>
        </w:rPr>
        <w:t>И, несмотря на то, что по данным, предоставленным главврачом республиканской стоматологии Сергеем Романенко в данном учреждении нет очереди, но в целом по республике вопрос о льготном протезировании остается актуальным, востребованным и проблематичным.</w:t>
      </w:r>
    </w:p>
    <w:p w:rsidR="00590AB2" w:rsidRPr="00DD1340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4. В целях решения некоторых проблем, связанных  с льготным зубопротезированием, предлагаю следующий вариант решения:</w:t>
      </w:r>
    </w:p>
    <w:p w:rsidR="00590AB2" w:rsidRPr="00590AB2" w:rsidRDefault="00590AB2" w:rsidP="00590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AB2" w:rsidRPr="00DD1340" w:rsidRDefault="00590AB2" w:rsidP="00590AB2">
      <w:pPr>
        <w:pStyle w:val="1"/>
        <w:spacing w:before="0" w:beforeAutospacing="0" w:after="0" w:afterAutospacing="0"/>
        <w:ind w:firstLine="567"/>
        <w:jc w:val="both"/>
        <w:rPr>
          <w:b w:val="0"/>
          <w:color w:val="212121"/>
          <w:sz w:val="28"/>
          <w:szCs w:val="28"/>
        </w:rPr>
      </w:pPr>
      <w:r w:rsidRPr="00DD1340">
        <w:rPr>
          <w:b w:val="0"/>
          <w:sz w:val="28"/>
          <w:szCs w:val="28"/>
        </w:rPr>
        <w:t>- разрешить  стоматологическим организациям всех форм собственности принимать участие  в ТЕНДЕРЕ</w:t>
      </w:r>
      <w:r w:rsidRPr="00DD1340">
        <w:rPr>
          <w:b w:val="0"/>
          <w:color w:val="212121"/>
          <w:sz w:val="28"/>
          <w:szCs w:val="28"/>
        </w:rPr>
        <w:t xml:space="preserve">  на </w:t>
      </w:r>
      <w:r w:rsidRPr="00DD1340">
        <w:rPr>
          <w:color w:val="212121"/>
          <w:sz w:val="28"/>
          <w:szCs w:val="28"/>
        </w:rPr>
        <w:t>«</w:t>
      </w:r>
      <w:r w:rsidRPr="00DD1340">
        <w:rPr>
          <w:b w:val="0"/>
          <w:color w:val="212121"/>
          <w:sz w:val="28"/>
          <w:szCs w:val="28"/>
        </w:rPr>
        <w:t xml:space="preserve">Оказание услуг по бесплатному зубопротезированию», согласно  действующим нормативно-правовым актам в части </w:t>
      </w:r>
      <w:r w:rsidRPr="00DD1340">
        <w:rPr>
          <w:b w:val="0"/>
          <w:color w:val="000000"/>
          <w:sz w:val="28"/>
          <w:szCs w:val="28"/>
          <w:shd w:val="clear" w:color="auto" w:fill="FFFFFF"/>
        </w:rPr>
        <w:t xml:space="preserve"> “конкурентных закупок”.</w:t>
      </w:r>
    </w:p>
    <w:p w:rsidR="00590AB2" w:rsidRPr="00DD1340" w:rsidRDefault="00590AB2" w:rsidP="00590AB2">
      <w:pPr>
        <w:pStyle w:val="1"/>
        <w:spacing w:before="0" w:beforeAutospacing="0" w:after="0" w:afterAutospacing="0"/>
        <w:ind w:firstLine="567"/>
        <w:jc w:val="both"/>
        <w:rPr>
          <w:b w:val="0"/>
          <w:color w:val="212121"/>
          <w:sz w:val="28"/>
          <w:szCs w:val="28"/>
        </w:rPr>
      </w:pPr>
    </w:p>
    <w:p w:rsidR="00590AB2" w:rsidRPr="00590AB2" w:rsidRDefault="00590AB2" w:rsidP="00590AB2">
      <w:pPr>
        <w:pStyle w:val="1"/>
        <w:spacing w:before="0" w:beforeAutospacing="0" w:after="0" w:afterAutospacing="0"/>
        <w:ind w:firstLine="567"/>
        <w:jc w:val="both"/>
        <w:rPr>
          <w:rStyle w:val="a6"/>
          <w:b/>
          <w:i/>
          <w:sz w:val="28"/>
          <w:szCs w:val="28"/>
        </w:rPr>
      </w:pPr>
      <w:r w:rsidRPr="00590AB2">
        <w:rPr>
          <w:b w:val="0"/>
          <w:color w:val="212121"/>
          <w:sz w:val="28"/>
          <w:szCs w:val="28"/>
        </w:rPr>
        <w:t xml:space="preserve">Такая форма участия коммерческих  стоматологических организаций существует в Российской Федерации, где  </w:t>
      </w:r>
      <w:r w:rsidRPr="00590AB2">
        <w:rPr>
          <w:b w:val="0"/>
          <w:color w:val="212121"/>
          <w:spacing w:val="1"/>
          <w:sz w:val="28"/>
          <w:szCs w:val="28"/>
          <w:shd w:val="clear" w:color="auto" w:fill="FFFFFF"/>
        </w:rPr>
        <w:t>государственные бюджетные учреждения здравоохранения выступают в роли заказчика по рассмотрению, в частности предложений:</w:t>
      </w:r>
    </w:p>
    <w:p w:rsidR="00590AB2" w:rsidRPr="00590AB2" w:rsidRDefault="00590AB2" w:rsidP="00590AB2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590AB2" w:rsidRPr="00590AB2" w:rsidRDefault="00590AB2" w:rsidP="00590AB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90AB2">
        <w:rPr>
          <w:b w:val="0"/>
          <w:sz w:val="28"/>
          <w:szCs w:val="28"/>
        </w:rPr>
        <w:t xml:space="preserve">- </w:t>
      </w:r>
      <w:hyperlink r:id="rId5" w:tgtFrame="_blank" w:tooltip="Тендер на поставку расходного материала для зубопротезирования" w:history="1">
        <w:r w:rsidRPr="00590AB2">
          <w:rPr>
            <w:rStyle w:val="a7"/>
            <w:b w:val="0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поставка расходного материала для зубопротезирования</w:t>
        </w:r>
      </w:hyperlink>
      <w:r w:rsidRPr="00590AB2">
        <w:rPr>
          <w:b w:val="0"/>
          <w:sz w:val="28"/>
          <w:szCs w:val="28"/>
        </w:rPr>
        <w:t>;</w:t>
      </w:r>
    </w:p>
    <w:p w:rsidR="00590AB2" w:rsidRPr="00590AB2" w:rsidRDefault="00590AB2" w:rsidP="00590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0AB2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hyperlink r:id="rId6" w:tgtFrame="_blank" w:tooltip="Тендер на оказание медицинских услуг по зубопротезированию (изготовление и ремонт зубных протезов (кроме изделий из драгоценных металлов и металлокерамики)) в Слюдянке" w:history="1">
        <w:r w:rsidRPr="00590AB2"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оказание медицинских услуг по зубопротезированию (изготовление и ремонт зубных протезов (кроме изделий из драгоценных металлов и металлокерамики);</w:t>
        </w:r>
      </w:hyperlink>
    </w:p>
    <w:p w:rsidR="00590AB2" w:rsidRPr="00590AB2" w:rsidRDefault="00590AB2" w:rsidP="00590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0AB2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hyperlink r:id="rId7" w:tgtFrame="_blank" w:tooltip="Тендер на поставку медицинских расходных материалов для зубопротезирования для стоматологического ортопедического отделения в Каменске-Уральском" w:history="1">
        <w:r w:rsidRPr="00590AB2"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поставка медицинских расходных материалов для зубопротезирования для стоматологического ортопедического отделения</w:t>
        </w:r>
      </w:hyperlink>
      <w:r w:rsidRPr="00590AB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590AB2" w:rsidRPr="00590AB2" w:rsidRDefault="00590AB2" w:rsidP="00590AB2">
      <w:pPr>
        <w:pStyle w:val="1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590AB2">
        <w:rPr>
          <w:b w:val="0"/>
          <w:sz w:val="28"/>
          <w:szCs w:val="28"/>
        </w:rPr>
        <w:t>- п</w:t>
      </w:r>
      <w:hyperlink r:id="rId8" w:tgtFrame="_blank" w:tooltip="Тендер на поставку расходных материалов для льготного зубопротезирования (заявка № м-84-5/22) в Новосибирске" w:history="1">
        <w:r w:rsidRPr="00590AB2">
          <w:rPr>
            <w:rStyle w:val="a7"/>
            <w:b w:val="0"/>
            <w:color w:val="auto"/>
            <w:spacing w:val="1"/>
            <w:sz w:val="28"/>
            <w:szCs w:val="28"/>
            <w:u w:val="none"/>
            <w:shd w:val="clear" w:color="auto" w:fill="FFFFFF"/>
          </w:rPr>
          <w:t>оставка расходных материалов для льготного зубопротезирования;</w:t>
        </w:r>
      </w:hyperlink>
    </w:p>
    <w:p w:rsidR="00590AB2" w:rsidRPr="00590AB2" w:rsidRDefault="00590AB2" w:rsidP="00590AB2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590AB2">
        <w:rPr>
          <w:rStyle w:val="a6"/>
          <w:b w:val="0"/>
          <w:sz w:val="28"/>
          <w:szCs w:val="28"/>
        </w:rPr>
        <w:t>- другие аналогичные услуги.</w:t>
      </w:r>
    </w:p>
    <w:p w:rsidR="00590AB2" w:rsidRPr="00590AB2" w:rsidRDefault="00590AB2" w:rsidP="00590AB2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A1D09" w:rsidRPr="00590AB2" w:rsidRDefault="00B1121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Предлагаю представленную мной информацию принять во внимание и до нести её до всех членов общественного совета.</w:t>
      </w:r>
    </w:p>
    <w:p w:rsidR="00916650" w:rsidRPr="00590AB2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Pr="00590AB2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590AB2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590AB2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065749"/>
    <w:rsid w:val="0001007E"/>
    <w:rsid w:val="00035EDE"/>
    <w:rsid w:val="00065749"/>
    <w:rsid w:val="000B3D47"/>
    <w:rsid w:val="000D7A63"/>
    <w:rsid w:val="00113251"/>
    <w:rsid w:val="001F1A1B"/>
    <w:rsid w:val="00217D5E"/>
    <w:rsid w:val="002469B1"/>
    <w:rsid w:val="00253177"/>
    <w:rsid w:val="002A1D09"/>
    <w:rsid w:val="00374F6E"/>
    <w:rsid w:val="00475F6F"/>
    <w:rsid w:val="0047712A"/>
    <w:rsid w:val="00590AB2"/>
    <w:rsid w:val="0059704A"/>
    <w:rsid w:val="00605D9A"/>
    <w:rsid w:val="006B1188"/>
    <w:rsid w:val="006D1AF6"/>
    <w:rsid w:val="00737667"/>
    <w:rsid w:val="007965DB"/>
    <w:rsid w:val="007E6452"/>
    <w:rsid w:val="0084140E"/>
    <w:rsid w:val="00872A00"/>
    <w:rsid w:val="008905A5"/>
    <w:rsid w:val="00916650"/>
    <w:rsid w:val="009219C2"/>
    <w:rsid w:val="009767C5"/>
    <w:rsid w:val="009C0CCE"/>
    <w:rsid w:val="00A020AC"/>
    <w:rsid w:val="00A17074"/>
    <w:rsid w:val="00B11212"/>
    <w:rsid w:val="00B81605"/>
    <w:rsid w:val="00B950C1"/>
    <w:rsid w:val="00CE26B7"/>
    <w:rsid w:val="00CF2DEB"/>
    <w:rsid w:val="00D22079"/>
    <w:rsid w:val="00DD1340"/>
    <w:rsid w:val="00E03318"/>
    <w:rsid w:val="00E169A2"/>
    <w:rsid w:val="00E67F25"/>
    <w:rsid w:val="00EB04CB"/>
    <w:rsid w:val="00EB3E87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paragraph" w:styleId="1">
    <w:name w:val="heading 1"/>
    <w:basedOn w:val="a"/>
    <w:link w:val="10"/>
    <w:uiPriority w:val="9"/>
    <w:qFormat/>
    <w:rsid w:val="0059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5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90A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A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qFormat/>
    <w:rsid w:val="0059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ender.info/region/novosibirskaya-oblast/novosibirsk/60504586-tender-postavka-rashodnyh-materialov-dlya-lgotnogo-zuboprotezirovaniya-zayavka-m-84-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tender.info/region/sverdlovskaya-oblast/kamensk-uralskij/60509105-tender-postavka-medicinskih-rashodnyh-materialov-dlya-zuboprotezirovaniya-dlya-stomatologicheskogo-ortopedichesk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ender.info/region/irkutskaya-oblast/slyudyanka/60525046-tender-okazanie-medicinskih-uslug-po-zuboprotezirovaniyu-izgotovlenie-i-remont-zubnyh-protezov-krome-izdelij-iz-dragocennyh-metallov" TargetMode="External"/><Relationship Id="rId5" Type="http://schemas.openxmlformats.org/officeDocument/2006/relationships/hyperlink" Target="https://rostender.info/region/orenburgskaya-oblast/60525891-tender-postavka-rashodnogo-materiala-dlya-zuboprotezirova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23</cp:revision>
  <dcterms:created xsi:type="dcterms:W3CDTF">2022-10-04T14:28:00Z</dcterms:created>
  <dcterms:modified xsi:type="dcterms:W3CDTF">2022-10-06T15:20:00Z</dcterms:modified>
</cp:coreProperties>
</file>