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BF" w:rsidRPr="00231226" w:rsidRDefault="005801BF" w:rsidP="005801BF">
      <w:pPr>
        <w:pStyle w:val="10"/>
        <w:framePr w:w="9970" w:h="14803" w:hRule="exact" w:wrap="none" w:vAnchor="page" w:hAnchor="page" w:x="825" w:y="576"/>
        <w:numPr>
          <w:ilvl w:val="0"/>
          <w:numId w:val="1"/>
        </w:numPr>
        <w:shd w:val="clear" w:color="auto" w:fill="auto"/>
        <w:tabs>
          <w:tab w:val="left" w:pos="4120"/>
        </w:tabs>
        <w:spacing w:before="0" w:after="253" w:line="280" w:lineRule="exact"/>
        <w:ind w:left="3760"/>
      </w:pPr>
      <w:bookmarkStart w:id="0" w:name="bookmark0"/>
      <w:r w:rsidRPr="00231226">
        <w:rPr>
          <w:color w:val="000000"/>
          <w:lang w:eastAsia="ru-RU" w:bidi="ru-RU"/>
        </w:rPr>
        <w:t>Основные задачи.</w:t>
      </w:r>
      <w:bookmarkEnd w:id="0"/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shd w:val="clear" w:color="auto" w:fill="auto"/>
        <w:ind w:left="460"/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Основными задачами отдела являются: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Контроль за правильным расходованием денежных средств и материальных ценностей, соблюдением строжайшего режима экономии.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Организация учета основных фондов, материалов, денежных средств и других ценностей, исполнения сметы расходов.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Организация оплаты труда и вопросов стимулирования работников государственной администрации Рыбницкого района и г.Рыбница.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Обеспечение правильного документального отражения на счетах бухгалтерского учета операций, связанных с движением денежных средств, начисления и перечисления налогов и других платежей.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Осуществление контроля за проведением инвентаризации денежных средств, основных средств, товарно-материальных ценностей и расчетов.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Принятие мер к предупреждению недостач, растрат и других нарушений, и злоупотреблений в финансово-хозяйственной деятельности.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Обеспечение строгого соблюдения кассовой и расчетной дисциплины расходования полученных из казначейства средств п</w:t>
      </w:r>
      <w:bookmarkStart w:id="1" w:name="_GoBack"/>
      <w:bookmarkEnd w:id="1"/>
      <w:r w:rsidRPr="00231226">
        <w:rPr>
          <w:color w:val="000000"/>
          <w:sz w:val="28"/>
          <w:szCs w:val="28"/>
          <w:lang w:eastAsia="ru-RU" w:bidi="ru-RU"/>
        </w:rPr>
        <w:t>о назначению.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Обеспечение должного порядка хранения бухгалтерских документов и бухгалтерского архива.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Осуществление постоянного контроля за своевременным оформлением приема и расхода денежных средств и материальных ценностей, правильным расходованием фонда заработной платы, исчислением и выдачей всех видов премий, материальной помощи, соблюдением установленных штатов, должностных окладов и тарифных ставок, смет расходов.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Осуществление планово-экономической работы.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1"/>
        </w:numPr>
        <w:shd w:val="clear" w:color="auto" w:fill="auto"/>
        <w:tabs>
          <w:tab w:val="left" w:pos="678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Осуществление ведения индивидуального персонифицированного учета с последующим представлением в Пенсионный фонд ПМР.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2"/>
        </w:numPr>
        <w:shd w:val="clear" w:color="auto" w:fill="auto"/>
        <w:tabs>
          <w:tab w:val="left" w:pos="1063"/>
        </w:tabs>
        <w:spacing w:line="269" w:lineRule="exact"/>
        <w:jc w:val="both"/>
        <w:rPr>
          <w:sz w:val="28"/>
          <w:szCs w:val="28"/>
        </w:rPr>
      </w:pPr>
      <w:r w:rsidRPr="00231226">
        <w:rPr>
          <w:sz w:val="28"/>
          <w:szCs w:val="28"/>
        </w:rPr>
        <w:t xml:space="preserve">   </w:t>
      </w:r>
      <w:r w:rsidRPr="00231226">
        <w:rPr>
          <w:color w:val="000000"/>
          <w:sz w:val="28"/>
          <w:szCs w:val="28"/>
          <w:lang w:eastAsia="ru-RU" w:bidi="ru-RU"/>
        </w:rPr>
        <w:t>Обеспечение ведения налоговых карточек по каждому работнику с последующим предоставлением в налоговую инспекцию.</w:t>
      </w:r>
      <w:r w:rsidRPr="00231226">
        <w:rPr>
          <w:sz w:val="28"/>
          <w:szCs w:val="28"/>
        </w:rPr>
        <w:t xml:space="preserve"> 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numPr>
          <w:ilvl w:val="1"/>
          <w:numId w:val="2"/>
        </w:numPr>
        <w:shd w:val="clear" w:color="auto" w:fill="auto"/>
        <w:tabs>
          <w:tab w:val="left" w:pos="1063"/>
        </w:tabs>
        <w:spacing w:line="269" w:lineRule="exact"/>
        <w:jc w:val="both"/>
        <w:rPr>
          <w:sz w:val="28"/>
          <w:szCs w:val="28"/>
        </w:rPr>
      </w:pPr>
      <w:r w:rsidRPr="00231226">
        <w:rPr>
          <w:sz w:val="28"/>
          <w:szCs w:val="28"/>
        </w:rPr>
        <w:t xml:space="preserve">  </w:t>
      </w:r>
      <w:r w:rsidRPr="00231226">
        <w:rPr>
          <w:color w:val="000000"/>
          <w:sz w:val="28"/>
          <w:szCs w:val="28"/>
          <w:lang w:eastAsia="ru-RU" w:bidi="ru-RU"/>
        </w:rPr>
        <w:t>Обеспечение своевременного составления бухгалтерской отчетности на основе данных первичных документов и бухгалтерских записей, представления ее в установленном порядке в соответствующие инстанции.</w:t>
      </w:r>
    </w:p>
    <w:p w:rsidR="005801BF" w:rsidRPr="00231226" w:rsidRDefault="005801BF" w:rsidP="005801BF">
      <w:pPr>
        <w:pStyle w:val="20"/>
        <w:framePr w:w="9970" w:h="14803" w:hRule="exact" w:wrap="none" w:vAnchor="page" w:hAnchor="page" w:x="825" w:y="576"/>
        <w:shd w:val="clear" w:color="auto" w:fill="auto"/>
        <w:tabs>
          <w:tab w:val="left" w:pos="678"/>
        </w:tabs>
        <w:ind w:left="420"/>
        <w:jc w:val="both"/>
        <w:rPr>
          <w:sz w:val="28"/>
          <w:szCs w:val="28"/>
        </w:rPr>
      </w:pPr>
    </w:p>
    <w:p w:rsidR="005801BF" w:rsidRPr="00231226" w:rsidRDefault="005801BF" w:rsidP="005801BF">
      <w:pPr>
        <w:pStyle w:val="a4"/>
        <w:framePr w:wrap="none" w:vAnchor="page" w:hAnchor="page" w:x="5731" w:y="15408"/>
        <w:shd w:val="clear" w:color="auto" w:fill="auto"/>
        <w:spacing w:line="19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1BF" w:rsidRPr="00231226" w:rsidRDefault="005801BF" w:rsidP="005801BF">
      <w:pPr>
        <w:jc w:val="both"/>
        <w:rPr>
          <w:rFonts w:ascii="Times New Roman" w:hAnsi="Times New Roman" w:cs="Times New Roman"/>
          <w:sz w:val="28"/>
          <w:szCs w:val="28"/>
        </w:rPr>
        <w:sectPr w:rsidR="005801BF" w:rsidRPr="002312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01BF" w:rsidRPr="00231226" w:rsidRDefault="005801BF" w:rsidP="005801BF">
      <w:pPr>
        <w:pStyle w:val="10"/>
        <w:framePr w:w="10286" w:h="14605" w:hRule="exact" w:wrap="none" w:vAnchor="page" w:hAnchor="page" w:x="667" w:y="2237"/>
        <w:numPr>
          <w:ilvl w:val="0"/>
          <w:numId w:val="2"/>
        </w:numPr>
        <w:shd w:val="clear" w:color="auto" w:fill="auto"/>
        <w:tabs>
          <w:tab w:val="left" w:pos="4590"/>
        </w:tabs>
        <w:spacing w:before="0" w:after="258" w:line="280" w:lineRule="exact"/>
      </w:pPr>
      <w:bookmarkStart w:id="2" w:name="bookmark1"/>
      <w:r w:rsidRPr="00231226">
        <w:rPr>
          <w:color w:val="000000"/>
          <w:lang w:eastAsia="ru-RU" w:bidi="ru-RU"/>
        </w:rPr>
        <w:lastRenderedPageBreak/>
        <w:t>Функции отдела.</w:t>
      </w:r>
      <w:bookmarkEnd w:id="2"/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shd w:val="clear" w:color="auto" w:fill="auto"/>
        <w:ind w:left="160"/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В соответствии с основными задачами отдел выполняет следующие функции: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Разрабатывает проекты бюджета на очередной финансовый год по видам и статьям расходов.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Составляет бюджетную смету расходов государственной администрации Рыбницкого района и города Рыбница и вносит изменения в смету в течение года.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Готовит передвижение лимитов ассигнований по видам расходов в разрезе экономической классификации для обеспечения эффективного и своевременного финансирования.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Анализирует исполнение плана по видам расходов и статьям расходов, смет, оперативную и бухгалтерскую отчетность по финансовой деятельности.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контроль за правильным расходованием фондов заработной платы и материального стимулирования, правильностью применения форм и систем заработной платы.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Анализирует правильность и экономность использования средств, выделенных на тепло и энергоресурсы в соответствии с заключенными договорами.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ведение реестра расходных обязательств государственной администрации Рыбницкого района и г.Рыбница по утвержденным сметам.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  <w:tab w:val="left" w:pos="5726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Составляет прогноз кассового плана</w:t>
      </w:r>
      <w:r w:rsidRPr="00231226">
        <w:rPr>
          <w:color w:val="000000"/>
          <w:sz w:val="28"/>
          <w:szCs w:val="28"/>
          <w:lang w:eastAsia="ru-RU" w:bidi="ru-RU"/>
        </w:rPr>
        <w:tab/>
        <w:t>исполнения бюджета государственной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shd w:val="clear" w:color="auto" w:fill="auto"/>
        <w:ind w:left="360"/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администрации Рыбницкого района и г.Рыбница.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Производит расчеты по начислению и выплате заработной платы работникам государственной администрации Рыбницкого района и г.Рыбница, выдает различные справки по этому вопросу.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Начисляет и выплачивает пособия по уходу за ребенком до достижения им возраста 1.5 лет, пособий по временной нетрудоспособности в следствие заболевания или травмы застрахованного лица, пособия при рождении ребенка.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Начисляет и выплачивает пособия на содержание ребенка в семье опекуна.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Начисляет и выплачивает доплаты к государственным пенсиям заслуженным работникам города.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Ведет учет и перечисление удержаний из заработной платы, начислений на заработную плату.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ведение налоговых карточек по каждому работнику с последующим предоставлением в налоговую инспекцию.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ведение индивидуального персонифицированного учета с последующим предоставлением в Пенсионный Фонд Г1МР.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Получает наличные деньги, хранит и выдаст их из кассы по оформленным и подписанным документам.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Ведет лицевые счета работников государственной администрации Рыбницкого района и г. Рыбница.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Ведет аналитический учет основных средств и материальных ценностей, обработку документации о поступлении и внутреннем перемещении объектов основных средств и материальных ценностей.</w:t>
      </w:r>
    </w:p>
    <w:p w:rsidR="005801BF" w:rsidRPr="00231226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Обеспечивает проведение в установленные сроки, а также при смене материально</w:t>
      </w:r>
      <w:r w:rsidRPr="00231226">
        <w:rPr>
          <w:color w:val="000000"/>
          <w:sz w:val="28"/>
          <w:szCs w:val="28"/>
          <w:lang w:eastAsia="ru-RU" w:bidi="ru-RU"/>
        </w:rPr>
        <w:softHyphen/>
        <w:t>ответственных лиц инвентаризации основных средств и материальных ценностей, своевременное и правильное выявление результатов инвентаризации и точное отражение их в бухгалтерской документации.</w:t>
      </w:r>
    </w:p>
    <w:p w:rsidR="005801BF" w:rsidRPr="005801BF" w:rsidRDefault="005801BF" w:rsidP="005801BF">
      <w:pPr>
        <w:pStyle w:val="20"/>
        <w:framePr w:w="10286" w:h="14605" w:hRule="exact" w:wrap="none" w:vAnchor="page" w:hAnchor="page" w:x="667" w:y="2237"/>
        <w:numPr>
          <w:ilvl w:val="1"/>
          <w:numId w:val="3"/>
        </w:numPr>
        <w:shd w:val="clear" w:color="auto" w:fill="auto"/>
        <w:tabs>
          <w:tab w:val="left" w:pos="1063"/>
        </w:tabs>
        <w:jc w:val="both"/>
        <w:rPr>
          <w:sz w:val="28"/>
          <w:szCs w:val="28"/>
        </w:rPr>
        <w:sectPr w:rsidR="005801BF" w:rsidRPr="005801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31226">
        <w:rPr>
          <w:color w:val="000000"/>
          <w:sz w:val="28"/>
          <w:szCs w:val="28"/>
          <w:lang w:eastAsia="ru-RU" w:bidi="ru-RU"/>
        </w:rPr>
        <w:t>Осуществляет начисление амортизации основных средств.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tabs>
          <w:tab w:val="left" w:pos="706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lastRenderedPageBreak/>
        <w:t>Осуществляет проведение инвентаризации денежных средств, расчетов с поставщиками, расчетов по выданным авансам.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 xml:space="preserve"> Осуществляет заключение договоров о полной материальной ответственности с материально-ответственными лицами.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tabs>
          <w:tab w:val="left" w:pos="706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Ведет учет средств, поступивших во временное распоряжение.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tabs>
          <w:tab w:val="left" w:pos="706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контроль за выданными в под отчет денежными средствами.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 xml:space="preserve"> Осуществляет финансовое исполнение целевых Программ, контроль за целевым расходованием средств, предусмотренных программ.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tabs>
          <w:tab w:val="left" w:pos="744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перечисление субсидий на приобретение жилья молодым семьям, молодым специалистам, а также перечисление субсидий крестьянско-фермерским хозяйствам в рамках Программы.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tabs>
          <w:tab w:val="left" w:pos="706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контроль за расходованием денежных средств, выделенных из Резервного фонда бюджета Рыбницкого района и г.Рыбница.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tabs>
          <w:tab w:val="left" w:pos="706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контроль и своевременную выплату денежных средств, выделяемых на выплату пособий детям - сиротам и детям, оставшимся без попечения родителей, находящихся под опекой (попечительством) физических лиц.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tabs>
          <w:tab w:val="left" w:pos="706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контроль за расходованием денежных средств выделяемых на социальные пособия для погребения.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tabs>
          <w:tab w:val="left" w:pos="706"/>
        </w:tabs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Осуществляет составление бухгалтерского баланса, месячных, квартальных и годовых бухгалтерских, налоговых, статистических отчетов, представление их в соответствующие инстанции в установленные сроки.</w:t>
      </w:r>
    </w:p>
    <w:p w:rsidR="005801BF" w:rsidRPr="00231226" w:rsidRDefault="005801BF" w:rsidP="005801BF">
      <w:pPr>
        <w:pStyle w:val="20"/>
        <w:framePr w:w="9970" w:h="13124" w:hRule="exact" w:wrap="none" w:vAnchor="page" w:hAnchor="page" w:x="825" w:y="697"/>
        <w:numPr>
          <w:ilvl w:val="1"/>
          <w:numId w:val="3"/>
        </w:numPr>
        <w:shd w:val="clear" w:color="auto" w:fill="auto"/>
        <w:tabs>
          <w:tab w:val="left" w:pos="706"/>
        </w:tabs>
        <w:spacing w:after="295"/>
        <w:jc w:val="both"/>
        <w:rPr>
          <w:sz w:val="28"/>
          <w:szCs w:val="28"/>
        </w:rPr>
      </w:pPr>
      <w:r w:rsidRPr="00231226">
        <w:rPr>
          <w:color w:val="000000"/>
          <w:sz w:val="28"/>
          <w:szCs w:val="28"/>
          <w:lang w:eastAsia="ru-RU" w:bidi="ru-RU"/>
        </w:rPr>
        <w:t>Обеспечивает полное и правильное ведение делопроизводства Отдела, его сохранность и своевременную передачу в архив, согласно номенклатуре.</w:t>
      </w:r>
    </w:p>
    <w:p w:rsidR="005801BF" w:rsidRPr="00231226" w:rsidRDefault="005801BF" w:rsidP="00580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F5D" w:rsidRDefault="005F5F5D"/>
    <w:sectPr w:rsidR="005F5F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B2F56"/>
    <w:multiLevelType w:val="multilevel"/>
    <w:tmpl w:val="5E380294"/>
    <w:lvl w:ilvl="0">
      <w:start w:val="2"/>
      <w:numFmt w:val="decimal"/>
      <w:lvlText w:val="%1"/>
      <w:lvlJc w:val="left"/>
      <w:pPr>
        <w:ind w:left="5239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DE66BF"/>
    <w:multiLevelType w:val="multilevel"/>
    <w:tmpl w:val="EB4ED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E56249"/>
    <w:multiLevelType w:val="multilevel"/>
    <w:tmpl w:val="C67AB2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F"/>
    <w:rsid w:val="005801BF"/>
    <w:rsid w:val="005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65C8-CA33-4215-B8BF-A77666A6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01B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01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801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5801BF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01BF"/>
    <w:rPr>
      <w:rFonts w:ascii="Segoe UI" w:eastAsia="Segoe UI" w:hAnsi="Segoe UI" w:cs="Segoe UI"/>
      <w:b/>
      <w:bCs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1B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801BF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5801BF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5801BF"/>
    <w:pPr>
      <w:shd w:val="clear" w:color="auto" w:fill="FFFFFF"/>
      <w:spacing w:after="240" w:line="0" w:lineRule="atLeast"/>
    </w:pPr>
    <w:rPr>
      <w:rFonts w:ascii="Segoe UI" w:eastAsia="Segoe UI" w:hAnsi="Segoe UI" w:cs="Segoe UI"/>
      <w:b/>
      <w:bCs/>
      <w:i/>
      <w:iCs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</cp:revision>
  <dcterms:created xsi:type="dcterms:W3CDTF">2020-07-31T10:27:00Z</dcterms:created>
  <dcterms:modified xsi:type="dcterms:W3CDTF">2020-07-31T10:29:00Z</dcterms:modified>
</cp:coreProperties>
</file>